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EF" w:rsidRPr="00F86BEF" w:rsidRDefault="00F86BEF" w:rsidP="00F8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F86BEF" w:rsidRPr="00F86BEF" w:rsidRDefault="00F86BEF" w:rsidP="00F8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3827"/>
        <w:gridCol w:w="698"/>
        <w:gridCol w:w="1082"/>
        <w:gridCol w:w="236"/>
        <w:gridCol w:w="4647"/>
        <w:gridCol w:w="1701"/>
      </w:tblGrid>
      <w:tr w:rsidR="00F86BEF" w:rsidRPr="00F86BEF" w:rsidTr="001D6A48">
        <w:trPr>
          <w:trHeight w:val="405"/>
        </w:trPr>
        <w:tc>
          <w:tcPr>
            <w:tcW w:w="656" w:type="dxa"/>
            <w:vMerge w:val="restart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29" w:type="dxa"/>
            <w:vMerge w:val="restart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  <w:vMerge w:val="restart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8" w:type="dxa"/>
            <w:vMerge w:val="restart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2" w:type="dxa"/>
            <w:tcBorders>
              <w:right w:val="nil"/>
            </w:tcBorders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7" w:type="dxa"/>
            <w:tcBorders>
              <w:left w:val="nil"/>
              <w:bottom w:val="nil"/>
            </w:tcBorders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виды      деятельности, УУД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86BEF" w:rsidRPr="00F86BEF" w:rsidTr="001D6A48">
        <w:trPr>
          <w:trHeight w:val="70"/>
        </w:trPr>
        <w:tc>
          <w:tcPr>
            <w:tcW w:w="656" w:type="dxa"/>
            <w:vMerge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  <w:tcBorders>
              <w:top w:val="nil"/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О языке и речи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1.Русский язык в современном мире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  <w:tcBorders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Осознавать роль русского языка в современном мире; его функционирование в качестве мирового языка.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отечественных лингвистах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 1,п.1 упр.7 стр.12</w:t>
            </w:r>
          </w:p>
        </w:tc>
      </w:tr>
      <w:tr w:rsidR="00F86BEF" w:rsidRPr="00F86BEF" w:rsidTr="001D6A48"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2.Морфемный состав слова и способы словообразования (обобщение изученного)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  <w:tcBorders>
              <w:right w:val="nil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left w:val="nil"/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Анализировать словообразовательную структуру слова, выделяя исходную основу и словообразующую морфему. Различать изученные способы словообразования слов различных частей речи; составлять словообразовательные пары и словообразовательные цепочки слов; характеризовать словообразовательные гнёзда, устанавливая смысловую и структурную связь однокоренных слов. Определять род сложносокращённых слов.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Использовать морфемный, словообразовательный словари. Осуществлять устный и письменный морфемный и словообразовательный анализ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 1, п.2, упр. 13</w:t>
            </w:r>
          </w:p>
        </w:tc>
      </w:tr>
      <w:tr w:rsidR="00F86BEF" w:rsidRPr="00F86BEF" w:rsidTr="001D6A48"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3.Группы слов по происхождению и употреблени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изученного)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Группы фразеологизмов по происхождению и употреблению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right w:val="nil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left w:val="nil"/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использованием устаревших слов и </w:t>
            </w:r>
            <w:proofErr w:type="spellStart"/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неологиз-мов</w:t>
            </w:r>
            <w:proofErr w:type="spellEnd"/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в языке художественной литературы, разговорной речи. Характеризовать слова с точки зрения их принадлежности к активному и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пассивному запасу, сферы употребления и </w:t>
            </w:r>
            <w:proofErr w:type="spellStart"/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сти-листической</w:t>
            </w:r>
            <w:proofErr w:type="spellEnd"/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окраски. Извлекать необходимую информацию из лингвистических словарей устаревших слов и использовать её в различных видах деятельности.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свободные сочетания слов и фразеологизмы, 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фра-</w:t>
            </w:r>
            <w:proofErr w:type="spell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зеологизмы</w:t>
            </w:r>
            <w:proofErr w:type="spellEnd"/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нейтральные и стилистически окрашенные. Уместно использовать фразеологические обороты в речи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1, п.3, упр.27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П.4, упр.40</w:t>
            </w:r>
          </w:p>
        </w:tc>
      </w:tr>
      <w:tr w:rsidR="00F86BEF" w:rsidRPr="00F86BEF" w:rsidTr="001D6A48"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4.Система частей речи в русском языке (обобщение 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  <w:tcBorders>
              <w:right w:val="nil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left w:val="nil"/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Овладеть основными понятиями морфологии. Осознавать (понимать) особенности грамматического значения слова  в отличие от лексического значения.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Распознавать самостоятельные (знаменательные) части речи и их формы; служебные части речи.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обще категориальное значение, морфологические признаки наречия, определять его синтаксическую функцию.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 1, п.5,упр.52</w:t>
            </w:r>
          </w:p>
        </w:tc>
      </w:tr>
      <w:tr w:rsidR="00F86BEF" w:rsidRPr="00F86BEF" w:rsidTr="001D6A48"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5.Виды словосочетаний и предложений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6.Интонация и порядок слов в предложении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bottom w:val="single" w:sz="4" w:space="0" w:color="auto"/>
              <w:right w:val="nil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основными понятиями синтаксиса. 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(понимать) роль синтаксиса в формировании и выражении мысли, различие словосочетания и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 Распознавать (выделять) словосочетания в составе предложения; главное и зависимое слово в словосочетании; определять виды словосочетаний по морфологическим свойствам главного слова;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виды подчинительной связи в словосочетании; нарушения норм сочетания слов в составе словосочетания. Группировать и моделировать словосочетания по заданным признакам. Моделировать и употреблять в синонимические по значению словосочетания.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Опознавать (находить) грамматическую основу предложения, предложения простые и сложные.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Распознавать главные и второстепенные члены предложения.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Определять способы выражения подлежащего, виды сказуемого и способы его выражения; виды второстепенных членов предложения и способы их выражения.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Анализировать и характеризовать синтаксическую структуру простых двусоставных предложений.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границы предложений и способы их передачи в устной и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Корректировать интонацию в соответствии с коммуникативной целью высказывания.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1, п.6,упр.61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п.7,упр.65</w:t>
            </w:r>
          </w:p>
        </w:tc>
      </w:tr>
      <w:tr w:rsidR="00F86BEF" w:rsidRPr="00F86BEF" w:rsidTr="001D6A48"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7.Диктант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 (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  <w:tcBorders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555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Правописание служебных слов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8Правописание предлогов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9.Правописание частиц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10.Правописание союзов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11.Правописание неопределённых и отрицательных местоимений и наречий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12.Правописание 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 с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разными частями речи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  <w:tcBorders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Знать орфографические правила, связанные со слитным, дефисным и раздельным написанием слов.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Слитное и раздельное написание частиц </w:t>
            </w:r>
            <w:r w:rsidRPr="00F86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86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разных частей речи, правописание служебных частей речи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Обладать орфографической зоркостью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 1,п.8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упр.75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Упр.78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Упр.82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П.9.Упр.87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П.10,упр.96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45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  <w:tcBorders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495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14.Текст в устной и письменной речи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Знать и характеризовать признаки текста.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Определять виды связи предложений в тексте; смысловые, лексические и грамматические средства связи предложений и частей текста; выделять </w:t>
            </w:r>
            <w:proofErr w:type="spell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текста, делить его на абзацы; знать композиционные элементы абзаца и целого текста (зачин, основная часть, концовка).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,п.11,упр.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86BEF" w:rsidRPr="00F86BEF" w:rsidTr="001D6A48">
        <w:trPr>
          <w:trHeight w:val="585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Сжатое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(упр.138)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60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Язык и культура.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Выразительные средства лексики и фразеологии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Говорим без ошибок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русский язык как одну из основных культурно значимых ценностей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Оценивать правильность, точность, богатство, выразительность, уместность речи и в случае необходимости корректировать речевые высказывания.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1, п12Упр.107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упр.113</w:t>
            </w:r>
          </w:p>
        </w:tc>
      </w:tr>
      <w:tr w:rsidR="00F86BEF" w:rsidRPr="00F86BEF" w:rsidTr="001D6A48">
        <w:trPr>
          <w:trHeight w:val="48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18-19. Подготовка к итоговой аттестации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Сравнивать, противопоставлять или классифицировать части информации по разным критериям.</w:t>
            </w:r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>Рассматривать информацию, данную в нескольких различных формах (пространственно-визуальной, вербальной),  делать на этой основе выводы.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Упр.120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Упр.136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Упр.137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7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О языке и речи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20- 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лингвистическую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21. тему по упр.105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Анализ изложения и работа над ошибками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22.Диалог культур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связь русского языка с культурой и историей России.</w:t>
            </w:r>
            <w:r w:rsidRPr="00F8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F8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важность толерантного отношения к взаимодействию культур в </w:t>
            </w:r>
            <w:r w:rsidRPr="00F8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поликультурном мире.</w:t>
            </w:r>
            <w:r w:rsidRPr="00F8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F8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Осознавать важную роль русского языка в межкультурной коммуникации внутри страны и за её пределами.</w:t>
            </w:r>
            <w:r w:rsidRPr="00F86B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cr/>
            </w:r>
            <w:r w:rsidRPr="00F8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объяснять их значение с помощью лингвистических словарей (толковых, этимологических и др.).</w:t>
            </w:r>
            <w:r w:rsidRPr="00F8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Использовать этимологические словари и справочники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примеры, которые доказывают, что изучение языка позволяет лучше узнать историю и культуру страны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,п.1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</w:p>
        </w:tc>
      </w:tr>
      <w:tr w:rsidR="00F86BEF" w:rsidRPr="00F86BEF" w:rsidTr="001D6A48">
        <w:trPr>
          <w:trHeight w:val="1065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23.Простые односоставные и двусоставные предложения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24. Определённо-личные предложения    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25. Неопределённо-личные предложения  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26.Обобщённо-личные предложения   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27.  Безличные предложения  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28. Назывные предложения   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29. Неполные предложения  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Опознавать односоставные предложения; определять их виды и морфологические способы выражения главного члена.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Сопоставлять разные виды односоставных предложений по их структурным и смысловым особенностям.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Анализировать и характеризовать виды односоставных предложений, их структурные и смысловые особенности.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Моделировать односоставные предложения разных типов, синонимичные односоставные и двусоставные предложения, синонимичные односоставные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предложения; использовать их в речевой практике.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2, п. 2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пр.11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П.3,упр.17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П.4,упр.21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П.5,упр.31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П.6,упр.43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Упр.47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П.7,упр.54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П.8, упр.62</w:t>
            </w:r>
          </w:p>
        </w:tc>
      </w:tr>
      <w:tr w:rsidR="00F86BEF" w:rsidRPr="00F86BEF" w:rsidTr="001D6A48">
        <w:trPr>
          <w:trHeight w:val="1408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294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32. Гласные согласные в 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(обобщение)  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33. Правописание приставок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34. Правописание 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речи (обобщение)   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Знать орфографические правила, связанные с правописанием корня, приставок, н и </w:t>
            </w:r>
            <w:proofErr w:type="spell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речи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Обладать орфографической зоркостью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,п.9, упр.76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П.10, упр.90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П.11,упр.99</w:t>
            </w:r>
          </w:p>
        </w:tc>
      </w:tr>
      <w:tr w:rsidR="00F86BEF" w:rsidRPr="00F86BEF" w:rsidTr="001D6A48">
        <w:trPr>
          <w:trHeight w:val="3165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34. Слитное, раздельное и дефисное написание слов разных частей речи (обобщение)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Знать орфографические правила, связанные со слитным, дефисным и раздельным написанием слов.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Обладать орфографической зоркостью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п.12 упр.106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П.12. упр.109</w:t>
            </w:r>
          </w:p>
        </w:tc>
      </w:tr>
      <w:tr w:rsidR="00F86BEF" w:rsidRPr="00F86BEF" w:rsidTr="001D6A48">
        <w:trPr>
          <w:trHeight w:val="63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35. Односоставные предложения в текстах разных функциональных разновидностей языка                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текст с точки зрения его композиции и жанрового своеобразия, функционально-смыслового типа.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Решать учебно-познавательные и учебно-практические задачи, требующие полного и критического понимания текста.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Осуществлять информационную переработку нескольких текстов, передавая их содержание в виде схемы, таблицы, в том числе с использованием компьютерных программ.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собственные тексты с учётом требований к построению связного текста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 2, п.13, упр.112</w:t>
            </w:r>
          </w:p>
        </w:tc>
      </w:tr>
      <w:tr w:rsidR="00F86BEF" w:rsidRPr="00F86BEF" w:rsidTr="001D6A48">
        <w:trPr>
          <w:trHeight w:val="735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36-37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</w:t>
            </w:r>
            <w:r w:rsidRPr="00F86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Сочинение-описание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37.(упр.111)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с использованием разных функционально-смысловых типов речи и их комбинаций.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735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38-39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 Интервью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текст с точки зрения его композиции и жанрового своеобразия, функционально-смыслового типа.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Решать учебно-познавательные и учебно-практические задачи, требующие полного и критического понимания текста.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Осуществлять информационную переработку нескольких текстов, передавая их содержание в виде схемы, таблицы, в том числе с использованием компьютерных программ.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собственные тексты с учётом требований к построению связного текста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 2,п.14,упр.115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Упр.117</w:t>
            </w:r>
          </w:p>
        </w:tc>
      </w:tr>
      <w:tr w:rsidR="00F86BEF" w:rsidRPr="00F86BEF" w:rsidTr="001D6A48">
        <w:trPr>
          <w:trHeight w:val="84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  <w:r w:rsidRPr="00F86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Диктант</w:t>
            </w: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105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41-42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речи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 Синонимия односоставных и двусоставных предложений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  <w:r w:rsidRPr="00F86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</w:t>
            </w: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Говорим без ошибок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 2, п.15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Упр.131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Упр.135,137</w:t>
            </w:r>
          </w:p>
        </w:tc>
      </w:tr>
      <w:tr w:rsidR="00F86BEF" w:rsidRPr="00F86BEF" w:rsidTr="001D6A48">
        <w:trPr>
          <w:trHeight w:val="562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43-44.Подготовка к итоговой аттестации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Сравнивать, противопоставлять или классифицировать части информации по разным критериям.</w:t>
            </w:r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>Рассматривать информацию, данную в нескольких различных формах (пространственно-</w:t>
            </w:r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визуальной, вербальной),  делать на этой основе выводы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, Упр.157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Упр.153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Упр.159</w:t>
            </w:r>
          </w:p>
        </w:tc>
      </w:tr>
      <w:tr w:rsidR="00F86BEF" w:rsidRPr="00F86BEF" w:rsidTr="001D6A48">
        <w:trPr>
          <w:trHeight w:val="117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45-46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  <w:r w:rsidRPr="00F86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Изложение</w:t>
            </w: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(упр.159)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 Анализ изложения и работа над ошибками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573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О языке и речи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48. Национальный, государственный и межнациональный язык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важную роль русского языка в межкультурной коммуникации внутри страны и за её пределами.</w:t>
            </w:r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объяснять их значение с помощью лингвистических словарей (толковых, этимологических и др.).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Использовать этимологические словари и справочники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Приводить примеры, которые доказывают, что изучение языка позволяет лучше узнать историю и культуру страны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П.1 упр.6</w:t>
            </w:r>
          </w:p>
        </w:tc>
      </w:tr>
      <w:tr w:rsidR="00F86BEF" w:rsidRPr="00F86BEF" w:rsidTr="001D6A48">
        <w:trPr>
          <w:trHeight w:val="78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48-54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Осложнённое простое предложение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48.Осложнённое простое предложение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49. Вводные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.  конструкции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50. Обращения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51. Однородные члены предложения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52. Однородные и неоднородные определения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53. Союзы при однородных членах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54. Обобщающие слова при однородных членах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предложения осложнённой структуры; разграничивать сложные предложения и предложения осложнённой структуры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Понимать (осознавать) основные функции обращения.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Опознавать и правильно интонировать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распространёнными и нераспространёнными обращениями.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Анализировать и оценивать уместность той или иной формы обращения.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Наблюдать за особенностями использования обращений в текстах различных стилей и жанров.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Понимать (осознавать) функции вводных конструкций в речи.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Опознавать и правильно интонировать предложения с вводными словами, словосочетаниями, предложениями; различать группы вводных слов и предложений по значению.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Группировать вводные конструкции по заданным признакам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Понимать (осознавать) условия однородности членов предложения.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3, п. 2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П.3, упр.14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Упр.17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П.4,упр.25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П.5,упр.28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п.6 упр.40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п.7 упр.46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пр.53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915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55.Тест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99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56-61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56 Тире в неполном предложении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57.  Знаки препинания при обращениях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58.  Знаки препинания при вводных конструкциях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59. Знаки препинания в предложениях с однородными членами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без союзов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60. Знаки препинания при однородных членах с союзами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61. Знаки препинания при однородных членах с обобщающими словами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Соблюдать основные пунктуационные нормы в письменной речи.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Глава3 п.9 упр.58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П.10,упр.65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П.11,упр.71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П.12, упр.75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П.12. упр.79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П.12 упр.85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П.12, упр.93</w:t>
            </w:r>
          </w:p>
        </w:tc>
      </w:tr>
      <w:tr w:rsidR="00F86BEF" w:rsidRPr="00F86BEF" w:rsidTr="001D6A48">
        <w:trPr>
          <w:trHeight w:val="786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126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63. Средства связи в текстах разных функциональных разновидностей языка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Соблюдать нормы построения текста (логичность, последовательность, связность, соответствие теме и др.). Оценивать чужие и собственные речевые высказывания с точки зрения соответствия их коммуникативным требованиям, языковым нормам.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обсуждении (</w:t>
            </w:r>
            <w:proofErr w:type="spellStart"/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t>аудиовидеофорум</w:t>
            </w:r>
            <w:proofErr w:type="spellEnd"/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t>, текстовый форум) с использованием возможностей Интернета.</w:t>
            </w:r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 xml:space="preserve">Выступать с </w:t>
            </w:r>
            <w:proofErr w:type="spellStart"/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t>аудиовидеоподдержкой</w:t>
            </w:r>
            <w:proofErr w:type="spellEnd"/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t>, включая выступление перед дистанционной аудиторией.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Исправлять речевые недостатки, редактировать текст. Выступать перед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 сверстников с докладом, представлять реферат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Глава13.П.13, упр.100</w:t>
            </w:r>
          </w:p>
        </w:tc>
      </w:tr>
      <w:tr w:rsidR="00F86BEF" w:rsidRPr="00F86BEF" w:rsidTr="001D6A48">
        <w:trPr>
          <w:trHeight w:val="835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64-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Сочинение-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рассуждение 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упр.118)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Соблюдать нормы построения текста (логичность, последовательность, связность, соответствие теме и др.).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102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67. Официально деловой стиль: доверенность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Оценивать чужие и собственные речевые высказывания с точки зрения соответствия их коммуникативным требованиям, языковым нормам.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обсуждении (</w:t>
            </w:r>
            <w:proofErr w:type="spellStart"/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t>аудиовидеофорум</w:t>
            </w:r>
            <w:proofErr w:type="spellEnd"/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t>, текстовый форум) с использованием возможностей Интернета.</w:t>
            </w:r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 xml:space="preserve">Выступать с </w:t>
            </w:r>
            <w:proofErr w:type="spellStart"/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t>аудиовидеоподдержкой</w:t>
            </w:r>
            <w:proofErr w:type="spellEnd"/>
            <w:r w:rsidRPr="00F86BEF">
              <w:rPr>
                <w:rFonts w:ascii="Times New Roman" w:hAnsi="Times New Roman" w:cs="Times New Roman"/>
                <w:i/>
                <w:sz w:val="24"/>
                <w:szCs w:val="24"/>
              </w:rPr>
              <w:t>, включая выступление перед дистанционной аудиторией.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Исправлять речевые недостатки, редактировать текст. Выступать перед аудиторией сверстников с докладом, представлять реферат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Глава3, п.14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упр.104</w:t>
            </w:r>
          </w:p>
        </w:tc>
      </w:tr>
      <w:tr w:rsidR="00F86BEF" w:rsidRPr="00F86BEF" w:rsidTr="001D6A48">
        <w:trPr>
          <w:trHeight w:val="885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68. Употребление обращений в речи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69. Употребление вводных конструкций в речи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Развитие речи. Говорим без ошибок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этимологические словари и справочники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примеры, которые доказывают, что изучение языка позволяет лучше узнать историю и культуру страны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 3, п.15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Упр.110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П.16 Упр.117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 25</w:t>
            </w:r>
          </w:p>
        </w:tc>
      </w:tr>
      <w:tr w:rsidR="00F86BEF" w:rsidRPr="00F86BEF" w:rsidTr="001D6A48">
        <w:trPr>
          <w:trHeight w:val="525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70. Подготовка к итоговой аттестации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Сравнивать, противопоставлять или классифицировать части информации по разным критериям.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Рассматривать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данную в нескольких различных формах (пространственно-визуальной, вербальной),  делать на этой основе выводы.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Упр.141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Упр.140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Упр.144</w:t>
            </w:r>
          </w:p>
        </w:tc>
      </w:tr>
      <w:tr w:rsidR="00F86BEF" w:rsidRPr="00F86BEF" w:rsidTr="001D6A48">
        <w:trPr>
          <w:trHeight w:val="225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71. Сжатое </w:t>
            </w:r>
            <w:r w:rsidRPr="00F86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изложение </w:t>
            </w: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(упр.145)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72.Анализ изложения и работа над ошибками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598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О языке и речи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73. Русский язык в мире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Осознавать важную роль русского языка в межкультурной коммуникации внутри страны и за её пределами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, п.1,упр.3</w:t>
            </w:r>
          </w:p>
        </w:tc>
      </w:tr>
      <w:tr w:rsidR="00F86BEF" w:rsidRPr="00F86BEF" w:rsidTr="001D6A48">
        <w:trPr>
          <w:trHeight w:val="567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74-79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74. Предложения с обособленными членами предложения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75. Обособленные определения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76. Обособленные приложения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77. Обособленные обстоятельства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78. Ограничительно-выделительные обороты (обособленные дополнения)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79.Уиочняющие, пояснительные и присоединительные члены предложения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Опознавать и правильно интонировать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Сопоставлять обособленные и необособленные второстепенные члены предложения.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Моделировать и использовать в речи предложения с разными видами обособленных членов.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Правильно конструировать предложения с деепричастными оборотами.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Оценивать правильность построения предложений с обособленными членами, корректировать недочёты.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>Анализировать и характеризовать предложения с обособленными членами разных видов.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Наблюдать за особенностями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обособленных членов предложения в текстах разных стилей и жанров, художественной литературе.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4п.2,упр.9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П.3.упр.14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П.4,упр.27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П.5,упр.38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П.6, упр.46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П.7,упр.53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585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80. </w:t>
            </w:r>
            <w:r w:rsidRPr="00F86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4243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81-86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81.Знаки препинания  в предложениях с обособленными определениями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82.Обособленные согласованные определения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83. Обособленные несогласованные определения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84. Знаки препинания в предложениях с обособленными приложениями.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85. Знаки препинания в предложениях с обособленными обстоятельствами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86 Знаки препинания при уточняющих, присоединительных, пояснительных членах предложения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Соблюдать основные пунктуационные нормы в письменной речи. Опираться на грамматико-интонационный анализ при объяснении расстановки знаков препинания в предложении.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Использовать справочники по правописанию для решения пунктуационных проблем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Соблюдать основные пунктуационные нормы в письменной речи. Опираться на грамматико-интонационный анализ при объяснении расстановки знаков препинания в предложении.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 4,п.8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пр.56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П.8,упр.62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П.8,упр.68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Упр.64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П.9,упр.76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Упр.77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П.10,упр.87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П.11,упр.95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Упр.90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63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87. </w:t>
            </w:r>
            <w:r w:rsidRPr="00F86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Диктант </w:t>
            </w:r>
            <w:r w:rsidRPr="00F86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503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88. Научный стиль речи:    реферат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89. Научный стиль речи: доклад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(</w:t>
            </w:r>
            <w:proofErr w:type="spell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аудиовидеофорум</w:t>
            </w:r>
            <w:proofErr w:type="spell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, текстовый форум) с использованием возможностей Интернета. Выступать с </w:t>
            </w:r>
            <w:proofErr w:type="spell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аудиовидеоподдержкой</w:t>
            </w:r>
            <w:proofErr w:type="spell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, включая выступление перед дистанционной аудиторией.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Исправлять речевые недостатки,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редактировать текст. 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Вы-ступать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перед аудиторией сверстников с докладом, представлять реферат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,п.12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Упр.100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П.4стр352</w:t>
            </w:r>
          </w:p>
        </w:tc>
      </w:tr>
      <w:tr w:rsidR="00F86BEF" w:rsidRPr="00F86BEF" w:rsidTr="001D6A48">
        <w:trPr>
          <w:trHeight w:val="45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90-91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90-91. 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на лингвистическую тему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Соблюдать нормы построения текста (логичность, последовательность, связность, соответствие теме и др.).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42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Язык и культура. Культура речи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92. Этичность речевого общения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94. Синтаксические нормы: употребление обособленных членов предложения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Развитие речи. Говорим без ошибок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раз-личной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направленности. 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ость, точность, богатство, выразительность, уместность речи и в случае необходимости корректировать речевые высказывания.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,п.13.упр.102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П.14,упр.108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Упр.114</w:t>
            </w:r>
          </w:p>
        </w:tc>
      </w:tr>
      <w:tr w:rsidR="00F86BEF" w:rsidRPr="00F86BEF" w:rsidTr="001D6A48">
        <w:trPr>
          <w:trHeight w:val="78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95Подготовка к итоговой аттестации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интерпретировать или оценивать информацию, используя особенности организации текста. Объединять несколько частей для определения главной мысли, </w:t>
            </w:r>
            <w:proofErr w:type="spellStart"/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истолко-вывать</w:t>
            </w:r>
            <w:proofErr w:type="spellEnd"/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 и смысл фраз.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упр. 130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Упр.131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Упр.128,129</w:t>
            </w:r>
          </w:p>
        </w:tc>
      </w:tr>
      <w:tr w:rsidR="00F86BEF" w:rsidRPr="00F86BEF" w:rsidTr="001D6A48">
        <w:trPr>
          <w:trHeight w:val="512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</w:t>
            </w:r>
            <w:proofErr w:type="gramStart"/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упр.132)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97. Анализ изложения и работа над ошибками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645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Контрольный диктант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(Административная контрольная работа)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435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100.Повторение раздела «О языке и культуре»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«Синтаксис простого предложения»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«Осложнённое простое предложение»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«Обособленные члены предложения»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раздела «Текст»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«Язык и культура. Культура речи»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EF" w:rsidRPr="00F86BEF" w:rsidRDefault="00F86BEF" w:rsidP="00F8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Комплексные анализы текстов</w:t>
            </w:r>
          </w:p>
        </w:tc>
      </w:tr>
      <w:tr w:rsidR="00F86BEF" w:rsidRPr="00F86BEF" w:rsidTr="001D6A48">
        <w:trPr>
          <w:trHeight w:val="435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изложение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 сочинение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различными видами чтения (поисковым, </w:t>
            </w:r>
            <w:proofErr w:type="spellStart"/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просмот-ровым</w:t>
            </w:r>
            <w:proofErr w:type="spellEnd"/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ознакомительным, изучающим), приёмами работы с учебной книгой и другими информационными источниками. Формировать на основе текста систему аргументов (доводов) для обоснования определённой позиции. Находить, интерпретировать или оценивать информацию, используя особенности организации текста. Объединять несколько частей для определения главной мысли, </w:t>
            </w:r>
            <w:proofErr w:type="spellStart"/>
            <w:proofErr w:type="gramStart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истолко-вывать</w:t>
            </w:r>
            <w:proofErr w:type="spellEnd"/>
            <w:proofErr w:type="gramEnd"/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 и смысл фраз. Сравнивать, противопоставлять или классифицировать части информации по разным критериям. Рассматривать 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данную в нескольких различных формах (пространственно-визуальной, вербальной),  делать на этой основе выводы. Передавать в устной форме содержание прочитанного или прослушанного текста в сжатом или развёрнутом виде  в соответствии с ситуацией речевого общения. 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870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(Административная)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  <w:r w:rsidRPr="00F86BE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EF" w:rsidRPr="00F86BEF" w:rsidTr="001D6A48">
        <w:trPr>
          <w:trHeight w:val="1837"/>
        </w:trPr>
        <w:tc>
          <w:tcPr>
            <w:tcW w:w="656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EF">
              <w:rPr>
                <w:rFonts w:ascii="Times New Roman" w:hAnsi="Times New Roman" w:cs="Times New Roman"/>
                <w:sz w:val="24"/>
                <w:szCs w:val="24"/>
              </w:rPr>
              <w:t>Итого: 102 часа</w:t>
            </w:r>
          </w:p>
        </w:tc>
        <w:tc>
          <w:tcPr>
            <w:tcW w:w="3827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2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EF" w:rsidRPr="00F86BEF" w:rsidRDefault="00F86BEF" w:rsidP="00F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48" w:rsidRDefault="00383548">
      <w:bookmarkStart w:id="0" w:name="_GoBack"/>
      <w:bookmarkEnd w:id="0"/>
    </w:p>
    <w:sectPr w:rsidR="00383548" w:rsidSect="00F86B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EF"/>
    <w:rsid w:val="00383548"/>
    <w:rsid w:val="00F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BE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BEF"/>
  </w:style>
  <w:style w:type="paragraph" w:styleId="a6">
    <w:name w:val="footer"/>
    <w:basedOn w:val="a"/>
    <w:link w:val="a7"/>
    <w:uiPriority w:val="99"/>
    <w:unhideWhenUsed/>
    <w:rsid w:val="00F8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BEF"/>
  </w:style>
  <w:style w:type="table" w:styleId="a8">
    <w:name w:val="Table Grid"/>
    <w:basedOn w:val="a1"/>
    <w:uiPriority w:val="59"/>
    <w:rsid w:val="00F8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F86BEF"/>
  </w:style>
  <w:style w:type="paragraph" w:styleId="aa">
    <w:name w:val="Balloon Text"/>
    <w:basedOn w:val="a"/>
    <w:link w:val="ab"/>
    <w:uiPriority w:val="99"/>
    <w:semiHidden/>
    <w:unhideWhenUsed/>
    <w:rsid w:val="00F8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6BEF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nhideWhenUsed/>
    <w:rsid w:val="00F86BE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F86BEF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86BEF"/>
    <w:pPr>
      <w:widowControl w:val="0"/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BE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BEF"/>
  </w:style>
  <w:style w:type="paragraph" w:styleId="a6">
    <w:name w:val="footer"/>
    <w:basedOn w:val="a"/>
    <w:link w:val="a7"/>
    <w:uiPriority w:val="99"/>
    <w:unhideWhenUsed/>
    <w:rsid w:val="00F8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BEF"/>
  </w:style>
  <w:style w:type="table" w:styleId="a8">
    <w:name w:val="Table Grid"/>
    <w:basedOn w:val="a1"/>
    <w:uiPriority w:val="59"/>
    <w:rsid w:val="00F8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F86BEF"/>
  </w:style>
  <w:style w:type="paragraph" w:styleId="aa">
    <w:name w:val="Balloon Text"/>
    <w:basedOn w:val="a"/>
    <w:link w:val="ab"/>
    <w:uiPriority w:val="99"/>
    <w:semiHidden/>
    <w:unhideWhenUsed/>
    <w:rsid w:val="00F8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6BEF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nhideWhenUsed/>
    <w:rsid w:val="00F86BE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F86BEF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86BEF"/>
    <w:pPr>
      <w:widowControl w:val="0"/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3475</Words>
  <Characters>19808</Characters>
  <Application>Microsoft Office Word</Application>
  <DocSecurity>0</DocSecurity>
  <Lines>165</Lines>
  <Paragraphs>46</Paragraphs>
  <ScaleCrop>false</ScaleCrop>
  <Company/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2020-01-05T07:59:00Z</dcterms:created>
  <dcterms:modified xsi:type="dcterms:W3CDTF">2020-01-05T08:00:00Z</dcterms:modified>
</cp:coreProperties>
</file>